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Pr="00454A34" w:rsidRDefault="005946E9" w:rsidP="00136893">
      <w:pPr>
        <w:pStyle w:val="1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862699" w:rsidRPr="00862699" w:rsidRDefault="00862699" w:rsidP="00862699">
      <w:pPr>
        <w:pStyle w:val="1"/>
        <w:keepNext w:val="0"/>
        <w:widowControl w:val="0"/>
        <w:jc w:val="center"/>
        <w:rPr>
          <w:b/>
          <w:caps w:val="0"/>
          <w:sz w:val="32"/>
          <w:szCs w:val="32"/>
        </w:rPr>
      </w:pPr>
      <w:r w:rsidRPr="00862699">
        <w:rPr>
          <w:b/>
          <w:caps w:val="0"/>
          <w:sz w:val="32"/>
          <w:szCs w:val="32"/>
        </w:rPr>
        <w:t>СОВЕТ ДЕПУТАТОВ</w:t>
      </w:r>
    </w:p>
    <w:p w:rsidR="00862699" w:rsidRDefault="00862699" w:rsidP="00862699">
      <w:pPr>
        <w:widowControl w:val="0"/>
        <w:jc w:val="center"/>
        <w:rPr>
          <w:b/>
          <w:caps/>
          <w:sz w:val="32"/>
          <w:szCs w:val="32"/>
        </w:rPr>
      </w:pPr>
      <w:r w:rsidRPr="00A7428B">
        <w:rPr>
          <w:b/>
          <w:caps/>
          <w:sz w:val="32"/>
          <w:szCs w:val="32"/>
        </w:rPr>
        <w:t>гагаринского Городского поселения гагаринского района Смоленской ОБЛАСТИ</w:t>
      </w:r>
    </w:p>
    <w:p w:rsidR="00723D60" w:rsidRPr="00454A34" w:rsidRDefault="00723D60" w:rsidP="00603A8D">
      <w:pPr>
        <w:pStyle w:val="2"/>
        <w:jc w:val="center"/>
        <w:rPr>
          <w:sz w:val="16"/>
          <w:szCs w:val="16"/>
        </w:rPr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C27533">
        <w:t>2</w:t>
      </w:r>
      <w:r w:rsidR="00CF3E80">
        <w:t>7</w:t>
      </w:r>
      <w:r w:rsidR="00862699">
        <w:t xml:space="preserve"> </w:t>
      </w:r>
      <w:r w:rsidR="00A53592">
        <w:t>нояб</w:t>
      </w:r>
      <w:r w:rsidR="00862699">
        <w:t>ря 202</w:t>
      </w:r>
      <w:r w:rsidR="00CF3E80">
        <w:t>3</w:t>
      </w:r>
      <w:r w:rsidR="00862699">
        <w:t xml:space="preserve"> года № </w:t>
      </w:r>
      <w:r w:rsidR="00262BAA">
        <w:t>89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D21F19">
        <w:rPr>
          <w:rFonts w:ascii="Times New Roman CYR" w:hAnsi="Times New Roman CYR" w:cs="Times New Roman CYR"/>
        </w:rPr>
        <w:t xml:space="preserve">й области за </w:t>
      </w:r>
      <w:r w:rsidR="008D7BD7">
        <w:rPr>
          <w:rFonts w:ascii="Times New Roman CYR" w:hAnsi="Times New Roman CYR" w:cs="Times New Roman CYR"/>
        </w:rPr>
        <w:t>девять месяцев</w:t>
      </w:r>
      <w:r w:rsidR="00D21F19">
        <w:rPr>
          <w:rFonts w:ascii="Times New Roman CYR" w:hAnsi="Times New Roman CYR" w:cs="Times New Roman CYR"/>
        </w:rPr>
        <w:t xml:space="preserve"> </w:t>
      </w:r>
      <w:r w:rsidR="00862699">
        <w:rPr>
          <w:rFonts w:ascii="Times New Roman CYR" w:hAnsi="Times New Roman CYR" w:cs="Times New Roman CYR"/>
        </w:rPr>
        <w:t>202</w:t>
      </w:r>
      <w:r w:rsidR="00CF3E80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года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</w:t>
      </w:r>
      <w:r w:rsidR="00C27533">
        <w:rPr>
          <w:rFonts w:ascii="Times New Roman CYR" w:hAnsi="Times New Roman CYR" w:cs="Times New Roman CYR"/>
        </w:rPr>
        <w:t>заместителя Главы муниципального образования «Гагаринский район» Смоленской области, начальника финансового управления</w:t>
      </w:r>
      <w:r w:rsidR="00C27533" w:rsidRPr="00603A8D">
        <w:rPr>
          <w:rFonts w:ascii="Times New Roman CYR" w:hAnsi="Times New Roman CYR" w:cs="Times New Roman CYR"/>
        </w:rPr>
        <w:t xml:space="preserve"> </w:t>
      </w:r>
      <w:r w:rsidR="00C27533">
        <w:rPr>
          <w:rFonts w:ascii="Times New Roman CYR" w:hAnsi="Times New Roman CYR" w:cs="Times New Roman CYR"/>
        </w:rPr>
        <w:t>Администрации</w:t>
      </w:r>
      <w:r w:rsidR="00C27533" w:rsidRPr="00591BDC">
        <w:rPr>
          <w:rFonts w:ascii="Times New Roman CYR" w:hAnsi="Times New Roman CYR" w:cs="Times New Roman CYR"/>
        </w:rPr>
        <w:t xml:space="preserve"> </w:t>
      </w:r>
      <w:r w:rsidR="00C27533">
        <w:rPr>
          <w:rFonts w:ascii="Times New Roman CYR" w:hAnsi="Times New Roman CYR" w:cs="Times New Roman CYR"/>
        </w:rPr>
        <w:t>муниципального образования «Гагаринский район» Смоленской области Т.В. Кудриной</w:t>
      </w:r>
      <w:r w:rsidR="00591B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D21F19">
        <w:rPr>
          <w:rFonts w:ascii="Times New Roman CYR" w:hAnsi="Times New Roman CYR" w:cs="Times New Roman CYR"/>
        </w:rPr>
        <w:t xml:space="preserve">а </w:t>
      </w:r>
      <w:r w:rsidR="005C1B79">
        <w:rPr>
          <w:rFonts w:ascii="Times New Roman CYR" w:hAnsi="Times New Roman CYR" w:cs="Times New Roman CYR"/>
        </w:rPr>
        <w:t>девять месяцев</w:t>
      </w:r>
      <w:r w:rsidR="00862699">
        <w:rPr>
          <w:rFonts w:ascii="Times New Roman CYR" w:hAnsi="Times New Roman CYR" w:cs="Times New Roman CYR"/>
        </w:rPr>
        <w:t xml:space="preserve"> 202</w:t>
      </w:r>
      <w:r w:rsidR="00CF3E80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</w:t>
      </w:r>
      <w:r w:rsidR="00C27533">
        <w:rPr>
          <w:rFonts w:ascii="Times New Roman CYR" w:hAnsi="Times New Roman CYR" w:cs="Times New Roman CYR"/>
        </w:rPr>
        <w:t>заместителя Главы муниципального образования «Гагаринский район» Смоленской области, начальника финансового управления</w:t>
      </w:r>
      <w:r w:rsidR="00C27533" w:rsidRPr="00603A8D">
        <w:rPr>
          <w:rFonts w:ascii="Times New Roman CYR" w:hAnsi="Times New Roman CYR" w:cs="Times New Roman CYR"/>
        </w:rPr>
        <w:t xml:space="preserve"> </w:t>
      </w:r>
      <w:r w:rsidR="00C27533">
        <w:rPr>
          <w:rFonts w:ascii="Times New Roman CYR" w:hAnsi="Times New Roman CYR" w:cs="Times New Roman CYR"/>
        </w:rPr>
        <w:t>Администрации</w:t>
      </w:r>
      <w:r w:rsidR="00C27533" w:rsidRPr="00591BDC">
        <w:rPr>
          <w:rFonts w:ascii="Times New Roman CYR" w:hAnsi="Times New Roman CYR" w:cs="Times New Roman CYR"/>
        </w:rPr>
        <w:t xml:space="preserve"> </w:t>
      </w:r>
      <w:r w:rsidR="00C27533">
        <w:rPr>
          <w:rFonts w:ascii="Times New Roman CYR" w:hAnsi="Times New Roman CYR" w:cs="Times New Roman CYR"/>
        </w:rPr>
        <w:t>муниципального образования «Гагаринский район» Смоленской области Т.В. Кудриной</w:t>
      </w:r>
      <w:r w:rsidR="00591B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</w:t>
      </w:r>
      <w:r w:rsidR="00D21F19">
        <w:rPr>
          <w:rFonts w:ascii="Times New Roman CYR" w:hAnsi="Times New Roman CYR" w:cs="Times New Roman CYR"/>
        </w:rPr>
        <w:t xml:space="preserve">она Смоленской области за </w:t>
      </w:r>
      <w:r w:rsidR="005C1B79">
        <w:rPr>
          <w:rFonts w:ascii="Times New Roman CYR" w:hAnsi="Times New Roman CYR" w:cs="Times New Roman CYR"/>
        </w:rPr>
        <w:t>девять месяцев</w:t>
      </w:r>
      <w:r w:rsidR="00862699">
        <w:rPr>
          <w:rFonts w:ascii="Times New Roman CYR" w:hAnsi="Times New Roman CYR" w:cs="Times New Roman CYR"/>
        </w:rPr>
        <w:t xml:space="preserve"> 202</w:t>
      </w:r>
      <w:r w:rsidR="00CF3E80">
        <w:rPr>
          <w:rFonts w:ascii="Times New Roman CYR" w:hAnsi="Times New Roman CYR" w:cs="Times New Roman CYR"/>
        </w:rPr>
        <w:t>3</w:t>
      </w:r>
      <w:r w:rsidR="005455EE">
        <w:rPr>
          <w:rFonts w:ascii="Times New Roman CYR" w:hAnsi="Times New Roman CYR" w:cs="Times New Roman CYR"/>
        </w:rPr>
        <w:t xml:space="preserve"> года принять к сведению </w:t>
      </w:r>
      <w:proofErr w:type="gramStart"/>
      <w:r w:rsidR="005455EE">
        <w:rPr>
          <w:rFonts w:ascii="Times New Roman CYR" w:hAnsi="Times New Roman CYR" w:cs="Times New Roman CYR"/>
        </w:rPr>
        <w:t>согласно приложени</w:t>
      </w:r>
      <w:r w:rsidR="008D5553">
        <w:rPr>
          <w:rFonts w:ascii="Times New Roman CYR" w:hAnsi="Times New Roman CYR" w:cs="Times New Roman CYR"/>
        </w:rPr>
        <w:t>я</w:t>
      </w:r>
      <w:proofErr w:type="gramEnd"/>
      <w:r>
        <w:rPr>
          <w:rFonts w:ascii="Times New Roman CYR" w:hAnsi="Times New Roman CYR" w:cs="Times New Roman CYR"/>
        </w:rPr>
        <w:t>.</w:t>
      </w:r>
    </w:p>
    <w:p w:rsidR="00862699" w:rsidRDefault="00CF3E80" w:rsidP="0086269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9E4D07">
        <w:rPr>
          <w:rFonts w:ascii="Times New Roman CYR" w:hAnsi="Times New Roman CYR" w:cs="Times New Roman CYR"/>
        </w:rPr>
        <w:t>.</w:t>
      </w:r>
      <w:r w:rsidR="00603A8D">
        <w:rPr>
          <w:rFonts w:ascii="Times New Roman CYR" w:hAnsi="Times New Roman CYR" w:cs="Times New Roman CYR"/>
        </w:rPr>
        <w:t xml:space="preserve"> Решение вступает в силу со дня принятия и подлежит официальному опубликованию.</w:t>
      </w:r>
    </w:p>
    <w:tbl>
      <w:tblPr>
        <w:tblW w:w="0" w:type="auto"/>
        <w:tblLook w:val="04A0"/>
      </w:tblPr>
      <w:tblGrid>
        <w:gridCol w:w="6016"/>
        <w:gridCol w:w="3838"/>
      </w:tblGrid>
      <w:tr w:rsidR="00CF3E80" w:rsidRPr="00F22536" w:rsidTr="00454A34">
        <w:tc>
          <w:tcPr>
            <w:tcW w:w="6016" w:type="dxa"/>
          </w:tcPr>
          <w:p w:rsidR="00CF3E80" w:rsidRPr="00D47F5B" w:rsidRDefault="00CF3E80" w:rsidP="00DD5DD6">
            <w:pPr>
              <w:spacing w:before="240"/>
            </w:pPr>
            <w:proofErr w:type="gramStart"/>
            <w:r>
              <w:t>Исполняющий</w:t>
            </w:r>
            <w:proofErr w:type="gramEnd"/>
            <w:r>
              <w:t xml:space="preserve"> полномочия </w:t>
            </w:r>
            <w:r w:rsidRPr="00D47F5B">
              <w:t>Глав</w:t>
            </w:r>
            <w:r>
              <w:t>ы</w:t>
            </w:r>
            <w:r w:rsidRPr="00D47F5B">
              <w:t xml:space="preserve"> муниципального образования</w:t>
            </w:r>
          </w:p>
          <w:p w:rsidR="00CF3E80" w:rsidRPr="00D47F5B" w:rsidRDefault="00CF3E80" w:rsidP="00DD5DD6">
            <w:pPr>
              <w:tabs>
                <w:tab w:val="left" w:pos="6075"/>
              </w:tabs>
            </w:pPr>
            <w:r w:rsidRPr="00D47F5B">
              <w:t>Гагаринского городского поселения</w:t>
            </w:r>
          </w:p>
          <w:p w:rsidR="00CF3E80" w:rsidRDefault="00CF3E80" w:rsidP="00DD5DD6">
            <w:r w:rsidRPr="00D47F5B">
              <w:t>Гагаринского района Смоленской области</w:t>
            </w:r>
          </w:p>
        </w:tc>
        <w:tc>
          <w:tcPr>
            <w:tcW w:w="3838" w:type="dxa"/>
            <w:vAlign w:val="bottom"/>
          </w:tcPr>
          <w:p w:rsidR="00CF3E80" w:rsidRPr="00F22536" w:rsidRDefault="00CF3E80" w:rsidP="00DD5DD6">
            <w:pPr>
              <w:ind w:firstLine="708"/>
              <w:jc w:val="right"/>
            </w:pPr>
            <w:r w:rsidRPr="00F22536">
              <w:t>И.В. Иванов</w:t>
            </w:r>
          </w:p>
        </w:tc>
      </w:tr>
    </w:tbl>
    <w:p w:rsidR="00454A34" w:rsidRDefault="00454A34" w:rsidP="00454A34">
      <w:pPr>
        <w:widowControl w:val="0"/>
        <w:suppressAutoHyphens/>
        <w:spacing w:before="240"/>
        <w:jc w:val="both"/>
      </w:pPr>
      <w:r>
        <w:rPr>
          <w:color w:val="000000"/>
          <w:sz w:val="24"/>
          <w:szCs w:val="24"/>
        </w:rPr>
        <w:t xml:space="preserve">Приложение к решению Совета депутатов города Гагарин Смоленской области от </w:t>
      </w:r>
      <w:r>
        <w:rPr>
          <w:sz w:val="24"/>
          <w:szCs w:val="24"/>
        </w:rPr>
        <w:t>27.11.2023г.</w:t>
      </w:r>
      <w:r>
        <w:rPr>
          <w:color w:val="000000"/>
          <w:sz w:val="24"/>
          <w:szCs w:val="24"/>
        </w:rPr>
        <w:t xml:space="preserve"> №89 размещено на официальном сайте города Гагарин Смоленской области www.gagarinadmin.ru</w:t>
      </w:r>
    </w:p>
    <w:p w:rsidR="00862699" w:rsidRDefault="00862699" w:rsidP="00862699">
      <w:pPr>
        <w:tabs>
          <w:tab w:val="left" w:pos="6075"/>
        </w:tabs>
        <w:rPr>
          <w:b/>
        </w:rPr>
        <w:sectPr w:rsidR="00862699" w:rsidSect="0086269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10448E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C27533">
        <w:rPr>
          <w:rFonts w:ascii="Times New Roman CYR" w:hAnsi="Times New Roman CYR" w:cs="Times New Roman CYR"/>
          <w:sz w:val="24"/>
          <w:szCs w:val="24"/>
        </w:rPr>
        <w:t>2</w:t>
      </w:r>
      <w:r w:rsidR="00CF3E80">
        <w:rPr>
          <w:rFonts w:ascii="Times New Roman CYR" w:hAnsi="Times New Roman CYR" w:cs="Times New Roman CYR"/>
          <w:sz w:val="24"/>
          <w:szCs w:val="24"/>
        </w:rPr>
        <w:t>7</w:t>
      </w:r>
      <w:r w:rsidR="00D21F19">
        <w:rPr>
          <w:rFonts w:ascii="Times New Roman CYR" w:hAnsi="Times New Roman CYR" w:cs="Times New Roman CYR"/>
          <w:sz w:val="24"/>
          <w:szCs w:val="24"/>
        </w:rPr>
        <w:t>.</w:t>
      </w:r>
      <w:r w:rsidR="00823D73">
        <w:rPr>
          <w:rFonts w:ascii="Times New Roman CYR" w:hAnsi="Times New Roman CYR" w:cs="Times New Roman CYR"/>
          <w:sz w:val="24"/>
          <w:szCs w:val="24"/>
        </w:rPr>
        <w:t>1</w:t>
      </w:r>
      <w:r w:rsidR="00C27533">
        <w:rPr>
          <w:rFonts w:ascii="Times New Roman CYR" w:hAnsi="Times New Roman CYR" w:cs="Times New Roman CYR"/>
          <w:sz w:val="24"/>
          <w:szCs w:val="24"/>
        </w:rPr>
        <w:t>1</w:t>
      </w:r>
      <w:r w:rsidR="00862699">
        <w:rPr>
          <w:rFonts w:ascii="Times New Roman CYR" w:hAnsi="Times New Roman CYR" w:cs="Times New Roman CYR"/>
          <w:sz w:val="24"/>
          <w:szCs w:val="24"/>
        </w:rPr>
        <w:t>.202</w:t>
      </w:r>
      <w:r w:rsidR="00CF3E80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262BAA">
        <w:rPr>
          <w:rFonts w:ascii="Times New Roman CYR" w:hAnsi="Times New Roman CYR" w:cs="Times New Roman CYR"/>
          <w:sz w:val="24"/>
          <w:szCs w:val="24"/>
        </w:rPr>
        <w:t>89</w:t>
      </w:r>
    </w:p>
    <w:tbl>
      <w:tblPr>
        <w:tblW w:w="5000" w:type="pct"/>
        <w:tblLayout w:type="fixed"/>
        <w:tblLook w:val="04A0"/>
      </w:tblPr>
      <w:tblGrid>
        <w:gridCol w:w="2027"/>
        <w:gridCol w:w="207"/>
        <w:gridCol w:w="1175"/>
        <w:gridCol w:w="1161"/>
        <w:gridCol w:w="1021"/>
        <w:gridCol w:w="1088"/>
        <w:gridCol w:w="1021"/>
        <w:gridCol w:w="1066"/>
        <w:gridCol w:w="1088"/>
      </w:tblGrid>
      <w:tr w:rsidR="00016EA9" w:rsidRPr="00016EA9" w:rsidTr="00016EA9">
        <w:trPr>
          <w:trHeight w:val="73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2:H74"/>
            <w:r w:rsidRPr="00016EA9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Гагаринского городского поселения Гагаринского района Смоленской области за 9 месяцев 2023 года</w:t>
            </w:r>
            <w:bookmarkEnd w:id="0"/>
          </w:p>
        </w:tc>
      </w:tr>
      <w:tr w:rsidR="00016EA9" w:rsidRPr="00016EA9" w:rsidTr="00016EA9">
        <w:trPr>
          <w:trHeight w:val="1275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Уточненный план на 2023 год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Исполнено за 9 месяцев 2023 года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% исполнения за 9 месяцев 2023 года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Исполнено  за 9 месяцев 2022 года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отклонение (факт 2023-2022)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%              роста исполнения 2023 к 2022 году</w:t>
            </w:r>
          </w:p>
        </w:tc>
      </w:tr>
      <w:tr w:rsidR="00016EA9" w:rsidRPr="00016EA9" w:rsidTr="00016EA9">
        <w:trPr>
          <w:trHeight w:val="360"/>
        </w:trPr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 xml:space="preserve">1 00 00000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106 745,0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86 795,5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55 995,4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30 800,1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155,0</w:t>
            </w:r>
          </w:p>
        </w:tc>
      </w:tr>
      <w:tr w:rsidR="00016EA9" w:rsidRPr="00016EA9" w:rsidTr="00016EA9">
        <w:trPr>
          <w:trHeight w:val="323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6EA9">
              <w:rPr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1 01 00000 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66 550,3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65 867,3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47 288,5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18 578,8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139,3</w:t>
            </w:r>
          </w:p>
        </w:tc>
      </w:tr>
      <w:tr w:rsidR="00016EA9" w:rsidRPr="00016EA9" w:rsidTr="00016EA9">
        <w:trPr>
          <w:trHeight w:val="323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1 01 02000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66 550,3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65 867,3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99,0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47 288,5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18 578,8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139,3</w:t>
            </w:r>
          </w:p>
        </w:tc>
      </w:tr>
      <w:tr w:rsidR="00016EA9" w:rsidRPr="00016EA9" w:rsidTr="00016EA9">
        <w:trPr>
          <w:trHeight w:val="54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6EA9">
              <w:rPr>
                <w:b/>
                <w:bCs/>
                <w:i/>
                <w:iCs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 xml:space="preserve">1 03 00000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2 745,1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2 311,7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84,2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2 238,6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73,1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103,3</w:t>
            </w:r>
          </w:p>
        </w:tc>
      </w:tr>
      <w:tr w:rsidR="00016EA9" w:rsidRPr="00016EA9" w:rsidTr="00016EA9">
        <w:trPr>
          <w:trHeight w:val="312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1 03 02000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2 745,1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2 311,7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84,2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2 238,6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73,1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103,3</w:t>
            </w:r>
          </w:p>
        </w:tc>
      </w:tr>
      <w:tr w:rsidR="00016EA9" w:rsidRPr="00016EA9" w:rsidTr="00016EA9">
        <w:trPr>
          <w:trHeight w:val="312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6EA9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1 06 00000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31 208,8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9 505,8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1 137,3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8 368,5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835,8</w:t>
            </w:r>
          </w:p>
        </w:tc>
      </w:tr>
      <w:tr w:rsidR="00016EA9" w:rsidRPr="00016EA9" w:rsidTr="00016EA9">
        <w:trPr>
          <w:trHeight w:val="30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1 06 01000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9 200,8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926,2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10,1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1 945,1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-1 018,9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47,6</w:t>
            </w:r>
          </w:p>
        </w:tc>
      </w:tr>
      <w:tr w:rsidR="00016EA9" w:rsidRPr="00016EA9" w:rsidTr="00016EA9">
        <w:trPr>
          <w:trHeight w:val="349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1 06 06000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22 008,0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8 579,6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39,0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-807,8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9 387,4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349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1 06 06030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15 119,5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8 424,5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55,7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490,7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7 933,8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1 716,8</w:t>
            </w:r>
          </w:p>
        </w:tc>
      </w:tr>
      <w:tr w:rsidR="00016EA9" w:rsidRPr="00016EA9" w:rsidTr="00016EA9">
        <w:trPr>
          <w:trHeight w:val="349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1 06 06040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6 888,5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155,1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-1 298,5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1 453,6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81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6EA9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1 11 00000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3 998,0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4 152,0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3 155,8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996,2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131,6</w:t>
            </w:r>
          </w:p>
        </w:tc>
      </w:tr>
      <w:tr w:rsidR="00016EA9" w:rsidRPr="00016EA9" w:rsidTr="00016EA9">
        <w:trPr>
          <w:trHeight w:val="51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1 11 05010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1 379,3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2 319,5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168,2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1 252,2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1 067,3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185,2</w:t>
            </w:r>
          </w:p>
        </w:tc>
      </w:tr>
      <w:tr w:rsidR="00016EA9" w:rsidRPr="00016EA9" w:rsidTr="00016EA9">
        <w:trPr>
          <w:trHeight w:val="372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1 11 05030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2 576,7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1 825,7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70,9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1 873,2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-47,5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97,5</w:t>
            </w:r>
          </w:p>
        </w:tc>
      </w:tr>
      <w:tr w:rsidR="00016EA9" w:rsidRPr="00016EA9" w:rsidTr="00016EA9">
        <w:trPr>
          <w:trHeight w:val="102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1 11 09080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42,0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6,8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16,2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30,4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-23,6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22,4</w:t>
            </w:r>
          </w:p>
        </w:tc>
      </w:tr>
      <w:tr w:rsidR="00016EA9" w:rsidRPr="00016EA9" w:rsidTr="00016EA9">
        <w:trPr>
          <w:trHeight w:val="54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6EA9">
              <w:rPr>
                <w:b/>
                <w:bCs/>
                <w:i/>
                <w:iCs/>
                <w:sz w:val="20"/>
                <w:szCs w:val="20"/>
              </w:rPr>
              <w:t xml:space="preserve">ДОХОДЫ ОТ ОКАЗАНИЯ </w:t>
            </w:r>
            <w:r w:rsidRPr="00016EA9">
              <w:rPr>
                <w:b/>
                <w:bCs/>
                <w:i/>
                <w:iCs/>
                <w:sz w:val="20"/>
                <w:szCs w:val="20"/>
              </w:rPr>
              <w:lastRenderedPageBreak/>
              <w:t>ПЛАТНЫХ УСЛУГ И КОМПЕНСАЦИИ ЗАТРАТ ГОСУДАРСТВА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lastRenderedPageBreak/>
              <w:t xml:space="preserve">1 13 00000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300,1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177,7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122,4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168,9</w:t>
            </w:r>
          </w:p>
        </w:tc>
      </w:tr>
      <w:tr w:rsidR="00016EA9" w:rsidRPr="00016EA9" w:rsidTr="00016EA9">
        <w:trPr>
          <w:trHeight w:val="51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lastRenderedPageBreak/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1 13 02995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330,0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300,1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90,9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177,7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122,4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168,9</w:t>
            </w:r>
          </w:p>
        </w:tc>
      </w:tr>
      <w:tr w:rsidR="00016EA9" w:rsidRPr="00016EA9" w:rsidTr="00016EA9">
        <w:trPr>
          <w:trHeight w:val="54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6EA9">
              <w:rPr>
                <w:b/>
                <w:bCs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 xml:space="preserve">1 14 00000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2 720,5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1 604,8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1 115,7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169,5</w:t>
            </w:r>
          </w:p>
        </w:tc>
      </w:tr>
      <w:tr w:rsidR="00016EA9" w:rsidRPr="00016EA9" w:rsidTr="00016EA9">
        <w:trPr>
          <w:trHeight w:val="51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1 14 06013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2 720,5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1 604,8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1 115,7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169,5</w:t>
            </w:r>
          </w:p>
        </w:tc>
      </w:tr>
      <w:tr w:rsidR="00016EA9" w:rsidRPr="00016EA9" w:rsidTr="00016EA9">
        <w:trPr>
          <w:trHeight w:val="51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1 14 06025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383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6EA9">
              <w:rPr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 xml:space="preserve">1 16 00000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1 912,8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1 938,1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392,7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1 545,4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493,5</w:t>
            </w:r>
          </w:p>
        </w:tc>
      </w:tr>
      <w:tr w:rsidR="00016EA9" w:rsidRPr="00016EA9" w:rsidTr="00016EA9">
        <w:trPr>
          <w:trHeight w:val="129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 w:rsidRPr="00016EA9">
              <w:rPr>
                <w:sz w:val="20"/>
                <w:szCs w:val="20"/>
              </w:rPr>
              <w:t>,(</w:t>
            </w:r>
            <w:proofErr w:type="gramEnd"/>
            <w:r w:rsidRPr="00016EA9">
              <w:rPr>
                <w:sz w:val="20"/>
                <w:szCs w:val="20"/>
              </w:rPr>
              <w:t>муниципальным казенным учреждением) городского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1 16 070900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21,2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617,1</w:t>
            </w:r>
          </w:p>
        </w:tc>
      </w:tr>
      <w:tr w:rsidR="00016EA9" w:rsidRPr="00016EA9" w:rsidTr="00016EA9">
        <w:trPr>
          <w:trHeight w:val="852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1 16 370000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1 912,8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1 912,8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388,6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1 524,2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492,2</w:t>
            </w:r>
          </w:p>
        </w:tc>
      </w:tr>
      <w:tr w:rsidR="00016EA9" w:rsidRPr="00016EA9" w:rsidTr="00016EA9">
        <w:trPr>
          <w:trHeight w:val="255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 xml:space="preserve">1 17 00000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42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200  00000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130 495,8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51 579,2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41 454,3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10 124,9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124,4</w:t>
            </w:r>
          </w:p>
        </w:tc>
      </w:tr>
      <w:tr w:rsidR="00016EA9" w:rsidRPr="00016EA9" w:rsidTr="00016EA9">
        <w:trPr>
          <w:trHeight w:val="589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016EA9" w:rsidRPr="00016EA9" w:rsidRDefault="00016EA9" w:rsidP="00016E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6EA9">
              <w:rPr>
                <w:b/>
                <w:bCs/>
                <w:i/>
                <w:iCs/>
                <w:sz w:val="20"/>
                <w:szCs w:val="20"/>
              </w:rPr>
              <w:t xml:space="preserve">БЕЗВОЗМЕЗДНЫЕ ПОСТУПЛЕНИЯ ОТ ДРУГИХ </w:t>
            </w:r>
            <w:r w:rsidRPr="00016EA9">
              <w:rPr>
                <w:b/>
                <w:bCs/>
                <w:i/>
                <w:iCs/>
                <w:sz w:val="20"/>
                <w:szCs w:val="20"/>
              </w:rPr>
              <w:lastRenderedPageBreak/>
              <w:t>БЮДЖЕТОВ БЮДЖЕТНОЙ СИСТЕМЫ РФ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lastRenderedPageBreak/>
              <w:t>202  00000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130 495,8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51 564,0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41 454,3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10 109,7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124,4</w:t>
            </w:r>
          </w:p>
        </w:tc>
      </w:tr>
      <w:tr w:rsidR="00016EA9" w:rsidRPr="00016EA9" w:rsidTr="00016EA9">
        <w:trPr>
          <w:trHeight w:val="529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A9" w:rsidRPr="00016EA9" w:rsidRDefault="00016EA9" w:rsidP="00016EA9">
            <w:pPr>
              <w:rPr>
                <w:sz w:val="22"/>
                <w:szCs w:val="22"/>
              </w:rPr>
            </w:pPr>
            <w:r w:rsidRPr="00016EA9">
              <w:rPr>
                <w:sz w:val="22"/>
                <w:szCs w:val="22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202  16001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3 776,6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2 832,3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75,0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2 264,4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567,9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125,1</w:t>
            </w:r>
          </w:p>
        </w:tc>
      </w:tr>
      <w:tr w:rsidR="00016EA9" w:rsidRPr="00016EA9" w:rsidTr="00016EA9">
        <w:trPr>
          <w:trHeight w:val="60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2"/>
                <w:szCs w:val="22"/>
              </w:rPr>
            </w:pPr>
            <w:r w:rsidRPr="00016EA9">
              <w:rPr>
                <w:sz w:val="22"/>
                <w:szCs w:val="22"/>
              </w:rPr>
              <w:t>Субсидии бюджетам бюджетной системы РФ, из них: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2 02 20000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126 719,2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48 731,7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38,5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39 189,9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9 541,8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124,3</w:t>
            </w:r>
          </w:p>
        </w:tc>
      </w:tr>
      <w:tr w:rsidR="00016EA9" w:rsidRPr="00016EA9" w:rsidTr="00016EA9">
        <w:trPr>
          <w:trHeight w:val="141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 xml:space="preserve"> Субсидии бюджетам городских поселений на обеспечение мероприятий по переселению граждан из аварийного жилищного фонда,  за счет средств, поступивших от публично-правовой компании Фонд развития территорий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6EA9">
              <w:rPr>
                <w:i/>
                <w:iCs/>
                <w:color w:val="000000"/>
                <w:sz w:val="18"/>
                <w:szCs w:val="18"/>
              </w:rPr>
              <w:t>2 02 20299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10 296,2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10 296,2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10 296,2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108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 за счет средств бюджетов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6EA9">
              <w:rPr>
                <w:i/>
                <w:iCs/>
                <w:color w:val="000000"/>
                <w:sz w:val="18"/>
                <w:szCs w:val="18"/>
              </w:rPr>
              <w:t>2 02 20302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8 743,9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8 593,9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98,3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8 593,9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1110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 xml:space="preserve"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16EA9">
              <w:rPr>
                <w:i/>
                <w:iCs/>
                <w:color w:val="000000"/>
                <w:sz w:val="18"/>
                <w:szCs w:val="18"/>
              </w:rPr>
              <w:t>2 02 25394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40 250,8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14 647,6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36,4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14 647,6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795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A9" w:rsidRPr="00016EA9" w:rsidRDefault="00016EA9" w:rsidP="00016EA9">
            <w:pPr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 xml:space="preserve">2 02 25555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14 796,2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10 728,2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72,5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13 952,4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-3 224,2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76,9</w:t>
            </w:r>
          </w:p>
        </w:tc>
      </w:tr>
      <w:tr w:rsidR="00016EA9" w:rsidRPr="00016EA9" w:rsidTr="00016EA9">
        <w:trPr>
          <w:trHeight w:val="405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 xml:space="preserve">2 02 29999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52 632,1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4 465,8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25 237,5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-20 771,7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016EA9">
              <w:rPr>
                <w:i/>
                <w:iCs/>
                <w:sz w:val="20"/>
                <w:szCs w:val="20"/>
              </w:rPr>
              <w:t>17,7</w:t>
            </w:r>
          </w:p>
        </w:tc>
      </w:tr>
      <w:tr w:rsidR="00016EA9" w:rsidRPr="00016EA9" w:rsidTr="00016EA9">
        <w:trPr>
          <w:trHeight w:val="765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ДОХОДЫ БЮДЖЕТОВ ГОРОДСКИХ ПОСЕЛЕНИЙ ОТ ВОЗВРАТА ИНЫМИМ ОРГАНИЗАЦИЯМИ ОСТАТКОВ СУБСИДИЙ ПРОШЛЫХ ЛЕТ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 xml:space="preserve">2 18 00000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86,6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86,6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585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A9" w:rsidRPr="00016EA9" w:rsidRDefault="00016EA9" w:rsidP="00016EA9">
            <w:pPr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lastRenderedPageBreak/>
              <w:t>ВОЗВРАТ ОСТАТКОВ СУБСИДИЙ, СУБВЕНЦИЙ, ИНЫХ МЕЖБ. ТРАНСФЕРТОВ ПРОШЛЫХ ЛЕТ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2 19 00000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-71,4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-71,4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sz w:val="20"/>
                <w:szCs w:val="20"/>
              </w:rPr>
            </w:pPr>
            <w:r w:rsidRPr="00016EA9">
              <w:rPr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315"/>
        </w:trPr>
        <w:tc>
          <w:tcPr>
            <w:tcW w:w="1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237 240,8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138 374,7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58,3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97 449,7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40 925,0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EA9"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016EA9" w:rsidRPr="00016EA9" w:rsidTr="00016EA9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16EA9" w:rsidRPr="00016EA9" w:rsidRDefault="00016EA9" w:rsidP="00016EA9">
            <w:pPr>
              <w:rPr>
                <w:color w:val="FF0000"/>
                <w:sz w:val="20"/>
                <w:szCs w:val="20"/>
              </w:rPr>
            </w:pPr>
            <w:r w:rsidRPr="00016EA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16EA9" w:rsidRPr="00016EA9" w:rsidRDefault="00016EA9" w:rsidP="00016EA9">
            <w:pPr>
              <w:rPr>
                <w:color w:val="FF0000"/>
                <w:sz w:val="20"/>
                <w:szCs w:val="20"/>
              </w:rPr>
            </w:pPr>
            <w:r w:rsidRPr="00016EA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16EA9" w:rsidRPr="00016EA9" w:rsidRDefault="00016EA9" w:rsidP="00016EA9">
            <w:pPr>
              <w:rPr>
                <w:color w:val="FF0000"/>
                <w:sz w:val="20"/>
                <w:szCs w:val="20"/>
              </w:rPr>
            </w:pPr>
            <w:r w:rsidRPr="00016EA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16EA9" w:rsidRPr="00016EA9" w:rsidRDefault="00016EA9" w:rsidP="00016EA9">
            <w:pPr>
              <w:rPr>
                <w:color w:val="FF0000"/>
                <w:sz w:val="20"/>
                <w:szCs w:val="20"/>
              </w:rPr>
            </w:pPr>
            <w:r w:rsidRPr="00016EA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16EA9" w:rsidRPr="00016EA9" w:rsidRDefault="00016EA9" w:rsidP="00016EA9">
            <w:pPr>
              <w:rPr>
                <w:color w:val="FF0000"/>
                <w:sz w:val="20"/>
                <w:szCs w:val="20"/>
              </w:rPr>
            </w:pPr>
            <w:r w:rsidRPr="00016EA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16EA9" w:rsidRPr="00016EA9" w:rsidRDefault="00016EA9" w:rsidP="00016EA9">
            <w:pPr>
              <w:jc w:val="center"/>
              <w:rPr>
                <w:color w:val="FF0000"/>
                <w:sz w:val="20"/>
                <w:szCs w:val="20"/>
              </w:rPr>
            </w:pPr>
            <w:r w:rsidRPr="00016EA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16EA9" w:rsidRPr="00016EA9" w:rsidRDefault="00016EA9" w:rsidP="00016EA9">
            <w:pPr>
              <w:rPr>
                <w:color w:val="FF0000"/>
                <w:sz w:val="20"/>
                <w:szCs w:val="20"/>
              </w:rPr>
            </w:pPr>
            <w:r w:rsidRPr="00016EA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7 854,8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3 449,1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4 518,9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-1 069,8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76,3</w:t>
            </w:r>
          </w:p>
        </w:tc>
      </w:tr>
      <w:tr w:rsidR="00016EA9" w:rsidRPr="00016EA9" w:rsidTr="00016EA9">
        <w:trPr>
          <w:trHeight w:val="76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539,2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520,3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103,63</w:t>
            </w:r>
          </w:p>
        </w:tc>
      </w:tr>
      <w:tr w:rsidR="00016EA9" w:rsidRPr="00016EA9" w:rsidTr="00016EA9">
        <w:trPr>
          <w:trHeight w:val="76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1 896,0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1 161,1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1 203,0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-41,9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016EA9" w:rsidRPr="00016EA9" w:rsidTr="00016EA9">
        <w:trPr>
          <w:trHeight w:val="76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104,4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-965,1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1 582,3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3 609,1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1 800,9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-83,0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016EA9" w:rsidRPr="00016EA9" w:rsidTr="00016EA9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3 172,0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1 580,8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670,6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910,2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235,7</w:t>
            </w:r>
          </w:p>
        </w:tc>
      </w:tr>
      <w:tr w:rsidR="00016EA9" w:rsidRPr="00016EA9" w:rsidTr="00E15B50">
        <w:trPr>
          <w:trHeight w:val="379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3 172,0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1 580,8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670,6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910,2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235,7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114 761,3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31 836,3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15 697,6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16 138,7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202,8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 xml:space="preserve">Дорожное хозяйство </w:t>
            </w:r>
            <w:r w:rsidRPr="00016EA9">
              <w:rPr>
                <w:color w:val="000000"/>
                <w:sz w:val="20"/>
                <w:szCs w:val="20"/>
              </w:rPr>
              <w:lastRenderedPageBreak/>
              <w:t>(дорожные фонды)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113 811,3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31 744,9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15 661,6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16 083,3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202,7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204 779,6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102 433,3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79 221,7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23 211,6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129,3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35 243,4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28 705,6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5 116,2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23 589,4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561,1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87 371,7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15 559,7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26 765,0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-11 205,3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58,1</w:t>
            </w:r>
          </w:p>
        </w:tc>
      </w:tr>
      <w:tr w:rsidR="00016EA9" w:rsidRPr="00016EA9" w:rsidTr="00016EA9">
        <w:trPr>
          <w:trHeight w:val="40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82 164,5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58 168,0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47 340,5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10 827,5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016EA9" w:rsidRPr="00016EA9" w:rsidTr="00016EA9">
        <w:trPr>
          <w:trHeight w:val="40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40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27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225,5</w:t>
            </w:r>
          </w:p>
        </w:tc>
      </w:tr>
      <w:tr w:rsidR="00016EA9" w:rsidRPr="00016EA9" w:rsidTr="00016EA9">
        <w:trPr>
          <w:trHeight w:val="27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225,5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1 067,0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922,0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-25,9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872,0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895,9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-23,9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1 388,2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1 141,6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472,7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668,9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241,5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886,8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613,1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613,1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-1,1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16EA9" w:rsidRPr="00016EA9" w:rsidTr="00016EA9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16EA9" w:rsidRPr="00016EA9" w:rsidRDefault="00016EA9" w:rsidP="00016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333 926,6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142 084,7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102 191,1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39 893,6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EA9">
              <w:rPr>
                <w:b/>
                <w:bCs/>
                <w:color w:val="000000"/>
                <w:sz w:val="20"/>
                <w:szCs w:val="20"/>
              </w:rPr>
              <w:t>139,0</w:t>
            </w:r>
          </w:p>
        </w:tc>
      </w:tr>
      <w:tr w:rsidR="00016EA9" w:rsidRPr="00016EA9" w:rsidTr="00016EA9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-96 685,8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-3 710,0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6EA9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r w:rsidRPr="00016EA9">
              <w:rPr>
                <w:color w:val="000000"/>
                <w:sz w:val="20"/>
                <w:szCs w:val="20"/>
              </w:rPr>
              <w:t>-4 741,4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6EA9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6EA9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6EA9" w:rsidRPr="00016EA9" w:rsidTr="00016EA9">
        <w:trPr>
          <w:trHeight w:val="255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6EA9" w:rsidRPr="00016EA9" w:rsidTr="00016EA9">
        <w:trPr>
          <w:trHeight w:val="525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EA9" w:rsidRPr="00016EA9" w:rsidRDefault="00016EA9" w:rsidP="00016E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2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A9" w:rsidRPr="00016EA9" w:rsidRDefault="00016EA9" w:rsidP="00016EA9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D02D16" w:rsidRDefault="00D02D16" w:rsidP="00D02D1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2D16" w:rsidRDefault="00D02D16" w:rsidP="00D02D1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D02D16" w:rsidRDefault="00D02D16" w:rsidP="00D02D1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«Гагаринский район» Смоленской области, предусмотренных за счет средств бюджета Гагаринского городского поселения Гагаринского района Смоленской области по состоянию </w:t>
      </w:r>
    </w:p>
    <w:p w:rsidR="00D02D16" w:rsidRDefault="00D02D16" w:rsidP="00D02D1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.2023 года</w:t>
      </w:r>
    </w:p>
    <w:p w:rsidR="00D02D16" w:rsidRDefault="00D02D16" w:rsidP="00D02D1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D16" w:rsidRDefault="00D02D16" w:rsidP="00D02D1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976"/>
        <w:gridCol w:w="1596"/>
        <w:gridCol w:w="1920"/>
      </w:tblGrid>
      <w:tr w:rsidR="00D02D16" w:rsidRPr="00093048" w:rsidTr="008E3F07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048">
              <w:rPr>
                <w:rFonts w:ascii="Times New Roman" w:hAnsi="Times New Roman" w:cs="Times New Roman"/>
              </w:rPr>
              <w:t>Наименование главного распорядителя средств бюджета Гагаринского городского поселения Гагаринского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04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048">
              <w:rPr>
                <w:rFonts w:ascii="Times New Roman" w:hAnsi="Times New Roman" w:cs="Times New Roman"/>
              </w:rPr>
              <w:t>Размер утвержденного резервного фонда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048">
              <w:rPr>
                <w:rFonts w:ascii="Times New Roman" w:hAnsi="Times New Roman" w:cs="Times New Roman"/>
              </w:rPr>
              <w:t>Остаток бюджетных ассигнований резервного фонда</w:t>
            </w:r>
          </w:p>
        </w:tc>
      </w:tr>
      <w:tr w:rsidR="00D02D16" w:rsidRPr="00093048" w:rsidTr="008E3F07">
        <w:trPr>
          <w:cantSplit/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048">
              <w:rPr>
                <w:rFonts w:ascii="Times New Roman" w:hAnsi="Times New Roman" w:cs="Times New Roman"/>
              </w:rPr>
              <w:t>4</w:t>
            </w:r>
          </w:p>
        </w:tc>
      </w:tr>
      <w:tr w:rsidR="00D02D16" w:rsidRPr="00093048" w:rsidTr="008E3F07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93048">
              <w:rPr>
                <w:rFonts w:ascii="Times New Roman" w:hAnsi="Times New Roman" w:cs="Times New Roman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93048">
              <w:rPr>
                <w:rFonts w:ascii="Times New Roman" w:hAnsi="Times New Roman" w:cs="Times New Roman"/>
              </w:rPr>
              <w:t>902 0111 8120027770 870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093048">
              <w:rPr>
                <w:rFonts w:ascii="Times New Roman" w:hAnsi="Times New Roman" w:cs="Times New Roman"/>
                <w:lang w:val="en-US"/>
              </w:rPr>
              <w:t>2 000 000,</w:t>
            </w:r>
            <w:r w:rsidRPr="000930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93048">
              <w:rPr>
                <w:rFonts w:ascii="Times New Roman" w:hAnsi="Times New Roman" w:cs="Times New Roman"/>
                <w:lang w:val="en-US"/>
              </w:rPr>
              <w:t>1 582 295</w:t>
            </w:r>
            <w:r w:rsidRPr="00093048">
              <w:rPr>
                <w:rFonts w:ascii="Times New Roman" w:hAnsi="Times New Roman" w:cs="Times New Roman"/>
              </w:rPr>
              <w:t>,</w:t>
            </w:r>
            <w:r w:rsidRPr="00093048">
              <w:rPr>
                <w:rFonts w:ascii="Times New Roman" w:hAnsi="Times New Roman" w:cs="Times New Roman"/>
                <w:lang w:val="en-US"/>
              </w:rPr>
              <w:t>68</w:t>
            </w:r>
          </w:p>
        </w:tc>
      </w:tr>
      <w:tr w:rsidR="00D02D16" w:rsidRPr="00093048" w:rsidTr="008E3F07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 w:rsidRPr="000930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093048">
              <w:rPr>
                <w:rFonts w:ascii="Times New Roman" w:hAnsi="Times New Roman" w:cs="Times New Roman"/>
                <w:b/>
              </w:rPr>
              <w:t>2 000 000,00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16" w:rsidRPr="00093048" w:rsidRDefault="00D02D16" w:rsidP="008E3F07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093048">
              <w:rPr>
                <w:rFonts w:ascii="Times New Roman" w:hAnsi="Times New Roman" w:cs="Times New Roman"/>
                <w:b/>
                <w:lang w:val="en-US"/>
              </w:rPr>
              <w:t>1 582 295</w:t>
            </w:r>
            <w:r w:rsidRPr="00093048">
              <w:rPr>
                <w:rFonts w:ascii="Times New Roman" w:hAnsi="Times New Roman" w:cs="Times New Roman"/>
                <w:b/>
              </w:rPr>
              <w:t>,</w:t>
            </w:r>
            <w:r w:rsidRPr="00093048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</w:tr>
    </w:tbl>
    <w:p w:rsidR="00D02D16" w:rsidRDefault="00D02D16" w:rsidP="00D02D1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D16" w:rsidRDefault="00D02D16" w:rsidP="00D02D1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5"/>
        <w:gridCol w:w="1395"/>
        <w:gridCol w:w="2400"/>
        <w:gridCol w:w="3120"/>
        <w:gridCol w:w="1449"/>
        <w:gridCol w:w="1431"/>
      </w:tblGrid>
      <w:tr w:rsidR="00D02D16" w:rsidRPr="00093048" w:rsidTr="008E3F07">
        <w:trPr>
          <w:cantSplit/>
          <w:trHeight w:val="120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30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3048">
              <w:rPr>
                <w:sz w:val="20"/>
                <w:szCs w:val="20"/>
              </w:rPr>
              <w:t>/</w:t>
            </w:r>
            <w:proofErr w:type="spellStart"/>
            <w:r w:rsidRPr="000930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Дата и номер распоряжения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Сумма в соответствии с распоряжением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Кассовый расход</w:t>
            </w:r>
          </w:p>
        </w:tc>
      </w:tr>
      <w:tr w:rsidR="00D02D16" w:rsidRPr="00093048" w:rsidTr="008E3F07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6</w:t>
            </w:r>
          </w:p>
        </w:tc>
      </w:tr>
      <w:tr w:rsidR="00D02D16" w:rsidRPr="00093048" w:rsidTr="008E3F07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1.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№228-р от 26.07.2023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Оплата задолженности по исполнительному листу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101 576,20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101 576,20</w:t>
            </w:r>
          </w:p>
        </w:tc>
      </w:tr>
      <w:tr w:rsidR="00D02D16" w:rsidRPr="00093048" w:rsidTr="008E3F07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№249-р от 18.08.2023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 xml:space="preserve">Предоставление субсидии МБУ «Благоустройство Гагарин» на оплату оценки воздействия на водные биологические ресурсы и среду их обитания р. </w:t>
            </w:r>
            <w:proofErr w:type="spellStart"/>
            <w:r w:rsidRPr="00093048">
              <w:rPr>
                <w:sz w:val="20"/>
                <w:szCs w:val="20"/>
              </w:rPr>
              <w:t>Гжать</w:t>
            </w:r>
            <w:proofErr w:type="spellEnd"/>
            <w:r w:rsidRPr="00093048">
              <w:rPr>
                <w:sz w:val="20"/>
                <w:szCs w:val="20"/>
              </w:rPr>
              <w:t xml:space="preserve"> планируемых работ по проекту</w:t>
            </w:r>
            <w:proofErr w:type="gramStart"/>
            <w:r w:rsidRPr="00093048">
              <w:rPr>
                <w:sz w:val="20"/>
                <w:szCs w:val="20"/>
              </w:rPr>
              <w:t xml:space="preserve"> :</w:t>
            </w:r>
            <w:proofErr w:type="gramEnd"/>
            <w:r w:rsidRPr="00093048">
              <w:rPr>
                <w:sz w:val="20"/>
                <w:szCs w:val="20"/>
              </w:rPr>
              <w:t xml:space="preserve"> «Капитальный ремонт моста через </w:t>
            </w:r>
            <w:proofErr w:type="spellStart"/>
            <w:r w:rsidRPr="00093048">
              <w:rPr>
                <w:sz w:val="20"/>
                <w:szCs w:val="20"/>
              </w:rPr>
              <w:t>р</w:t>
            </w:r>
            <w:proofErr w:type="gramStart"/>
            <w:r w:rsidRPr="00093048">
              <w:rPr>
                <w:sz w:val="20"/>
                <w:szCs w:val="20"/>
              </w:rPr>
              <w:t>.Г</w:t>
            </w:r>
            <w:proofErr w:type="gramEnd"/>
            <w:r w:rsidRPr="00093048">
              <w:rPr>
                <w:sz w:val="20"/>
                <w:szCs w:val="20"/>
              </w:rPr>
              <w:t>жать</w:t>
            </w:r>
            <w:proofErr w:type="spellEnd"/>
            <w:r w:rsidRPr="00093048">
              <w:rPr>
                <w:sz w:val="20"/>
                <w:szCs w:val="20"/>
              </w:rPr>
              <w:t xml:space="preserve"> на ул. 50 лет ВЛКСМ в г.Гагарин, Смоленская область»  информационно-консультационные услуги по подготовке материалов по оценке воздействия планируемой деятельности с определением последствий негативного воздействия на водные биологические ресурсы и среду их обитания).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316 128,12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sz w:val="20"/>
                <w:szCs w:val="20"/>
              </w:rPr>
            </w:pPr>
            <w:r w:rsidRPr="00093048">
              <w:rPr>
                <w:sz w:val="20"/>
                <w:szCs w:val="20"/>
              </w:rPr>
              <w:t>316 128,12</w:t>
            </w:r>
          </w:p>
        </w:tc>
      </w:tr>
      <w:tr w:rsidR="00D02D16" w:rsidRPr="00093048" w:rsidTr="008E3F07">
        <w:trPr>
          <w:cantSplit/>
          <w:trHeight w:val="39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D16" w:rsidRPr="00093048" w:rsidRDefault="00D02D16" w:rsidP="008E3F0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D16" w:rsidRPr="00093048" w:rsidRDefault="00D02D16" w:rsidP="008E3F07">
            <w:pPr>
              <w:snapToGrid w:val="0"/>
              <w:rPr>
                <w:b/>
                <w:sz w:val="20"/>
                <w:szCs w:val="20"/>
              </w:rPr>
            </w:pPr>
            <w:r w:rsidRPr="00093048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D16" w:rsidRPr="00093048" w:rsidRDefault="00D02D16" w:rsidP="008E3F0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D16" w:rsidRPr="00093048" w:rsidRDefault="00D02D16" w:rsidP="008E3F0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D16" w:rsidRPr="00093048" w:rsidRDefault="00D02D16" w:rsidP="008E3F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3048">
              <w:rPr>
                <w:b/>
                <w:sz w:val="20"/>
                <w:szCs w:val="20"/>
              </w:rPr>
              <w:t>417 704,32</w:t>
            </w:r>
          </w:p>
          <w:p w:rsidR="00D02D16" w:rsidRPr="00093048" w:rsidRDefault="00D02D16" w:rsidP="008E3F0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D16" w:rsidRPr="00093048" w:rsidRDefault="00D02D16" w:rsidP="008E3F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3048">
              <w:rPr>
                <w:b/>
                <w:sz w:val="20"/>
                <w:szCs w:val="20"/>
              </w:rPr>
              <w:t>417 704,32</w:t>
            </w:r>
          </w:p>
        </w:tc>
      </w:tr>
    </w:tbl>
    <w:p w:rsidR="006929B5" w:rsidRDefault="006929B5" w:rsidP="006929B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6929B5" w:rsidSect="00E14D23">
          <w:pgSz w:w="11906" w:h="16838"/>
          <w:pgMar w:top="850" w:right="1134" w:bottom="1701" w:left="1134" w:header="709" w:footer="709" w:gutter="0"/>
          <w:cols w:space="708"/>
          <w:docGrid w:linePitch="381"/>
        </w:sectPr>
      </w:pPr>
    </w:p>
    <w:p w:rsidR="00D21F19" w:rsidRDefault="00D21F19" w:rsidP="007F6E8E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21F19" w:rsidSect="00136893">
      <w:headerReference w:type="even" r:id="rId8"/>
      <w:headerReference w:type="default" r:id="rId9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AD" w:rsidRDefault="00862EAD" w:rsidP="00603A8D">
      <w:r>
        <w:separator/>
      </w:r>
    </w:p>
  </w:endnote>
  <w:endnote w:type="continuationSeparator" w:id="0">
    <w:p w:rsidR="00862EAD" w:rsidRDefault="00862EAD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AD" w:rsidRDefault="00862EAD" w:rsidP="00603A8D">
      <w:r>
        <w:separator/>
      </w:r>
    </w:p>
  </w:footnote>
  <w:footnote w:type="continuationSeparator" w:id="0">
    <w:p w:rsidR="00862EAD" w:rsidRDefault="00862EAD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93" w:rsidRDefault="000151C8" w:rsidP="0013689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8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6893" w:rsidRDefault="001368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93" w:rsidRDefault="000151C8" w:rsidP="0013689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8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6E8E">
      <w:rPr>
        <w:rStyle w:val="aa"/>
        <w:noProof/>
      </w:rPr>
      <w:t>7</w:t>
    </w:r>
    <w:r>
      <w:rPr>
        <w:rStyle w:val="aa"/>
      </w:rPr>
      <w:fldChar w:fldCharType="end"/>
    </w:r>
  </w:p>
  <w:p w:rsidR="00136893" w:rsidRDefault="001368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51C8"/>
    <w:rsid w:val="00016E50"/>
    <w:rsid w:val="00016EA9"/>
    <w:rsid w:val="00025076"/>
    <w:rsid w:val="00030F44"/>
    <w:rsid w:val="00032668"/>
    <w:rsid w:val="0003576A"/>
    <w:rsid w:val="0004148B"/>
    <w:rsid w:val="00042A63"/>
    <w:rsid w:val="00051FC6"/>
    <w:rsid w:val="000522DF"/>
    <w:rsid w:val="00054C67"/>
    <w:rsid w:val="0006536B"/>
    <w:rsid w:val="000716F5"/>
    <w:rsid w:val="000770DF"/>
    <w:rsid w:val="000813E3"/>
    <w:rsid w:val="000879FF"/>
    <w:rsid w:val="00093048"/>
    <w:rsid w:val="00097CC9"/>
    <w:rsid w:val="000A4708"/>
    <w:rsid w:val="0010448E"/>
    <w:rsid w:val="001136A8"/>
    <w:rsid w:val="00116691"/>
    <w:rsid w:val="00120620"/>
    <w:rsid w:val="00122A64"/>
    <w:rsid w:val="00126634"/>
    <w:rsid w:val="00127A3A"/>
    <w:rsid w:val="0013321E"/>
    <w:rsid w:val="00134BFE"/>
    <w:rsid w:val="00136893"/>
    <w:rsid w:val="001370B0"/>
    <w:rsid w:val="00142E08"/>
    <w:rsid w:val="00145AA9"/>
    <w:rsid w:val="00166DBF"/>
    <w:rsid w:val="00166FC4"/>
    <w:rsid w:val="001858B5"/>
    <w:rsid w:val="00186E20"/>
    <w:rsid w:val="00193F1B"/>
    <w:rsid w:val="001A15A3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06CF"/>
    <w:rsid w:val="00262BAA"/>
    <w:rsid w:val="002638EA"/>
    <w:rsid w:val="00272C4E"/>
    <w:rsid w:val="002741FF"/>
    <w:rsid w:val="002824D4"/>
    <w:rsid w:val="002A6094"/>
    <w:rsid w:val="002B3AFA"/>
    <w:rsid w:val="002B4401"/>
    <w:rsid w:val="002B71F4"/>
    <w:rsid w:val="002C55B9"/>
    <w:rsid w:val="002E23C4"/>
    <w:rsid w:val="002E4F64"/>
    <w:rsid w:val="002F5E9D"/>
    <w:rsid w:val="00320E91"/>
    <w:rsid w:val="003255EC"/>
    <w:rsid w:val="00332E61"/>
    <w:rsid w:val="0033453F"/>
    <w:rsid w:val="00361C1A"/>
    <w:rsid w:val="00364DCB"/>
    <w:rsid w:val="0036791D"/>
    <w:rsid w:val="003A0B8A"/>
    <w:rsid w:val="003A2B07"/>
    <w:rsid w:val="003A331F"/>
    <w:rsid w:val="003B16AC"/>
    <w:rsid w:val="003B7191"/>
    <w:rsid w:val="003D56A7"/>
    <w:rsid w:val="003E5DCD"/>
    <w:rsid w:val="003F11D4"/>
    <w:rsid w:val="00416562"/>
    <w:rsid w:val="0042015C"/>
    <w:rsid w:val="004209B5"/>
    <w:rsid w:val="0042209A"/>
    <w:rsid w:val="004247F7"/>
    <w:rsid w:val="00436716"/>
    <w:rsid w:val="00440879"/>
    <w:rsid w:val="00442161"/>
    <w:rsid w:val="00454A34"/>
    <w:rsid w:val="00472A05"/>
    <w:rsid w:val="00477AD8"/>
    <w:rsid w:val="00483EEA"/>
    <w:rsid w:val="0049462E"/>
    <w:rsid w:val="004969CA"/>
    <w:rsid w:val="00497321"/>
    <w:rsid w:val="004A779E"/>
    <w:rsid w:val="004B4C42"/>
    <w:rsid w:val="004C1C55"/>
    <w:rsid w:val="004C6B6D"/>
    <w:rsid w:val="004C6D95"/>
    <w:rsid w:val="004C7676"/>
    <w:rsid w:val="004D62A4"/>
    <w:rsid w:val="004E15CC"/>
    <w:rsid w:val="004E75C5"/>
    <w:rsid w:val="004F0934"/>
    <w:rsid w:val="004F0F18"/>
    <w:rsid w:val="004F438D"/>
    <w:rsid w:val="004F567F"/>
    <w:rsid w:val="004F5FF3"/>
    <w:rsid w:val="004F7AFE"/>
    <w:rsid w:val="005073D4"/>
    <w:rsid w:val="005100A2"/>
    <w:rsid w:val="00524A85"/>
    <w:rsid w:val="005455EE"/>
    <w:rsid w:val="005466DD"/>
    <w:rsid w:val="0055790E"/>
    <w:rsid w:val="00571676"/>
    <w:rsid w:val="00571AFB"/>
    <w:rsid w:val="00581BE3"/>
    <w:rsid w:val="00591BDC"/>
    <w:rsid w:val="00593D25"/>
    <w:rsid w:val="005942EB"/>
    <w:rsid w:val="005946E9"/>
    <w:rsid w:val="005973B9"/>
    <w:rsid w:val="005A33C3"/>
    <w:rsid w:val="005B0DA1"/>
    <w:rsid w:val="005C1B79"/>
    <w:rsid w:val="005D6062"/>
    <w:rsid w:val="005E7E6E"/>
    <w:rsid w:val="005F20BE"/>
    <w:rsid w:val="005F2333"/>
    <w:rsid w:val="005F46C7"/>
    <w:rsid w:val="00603A8D"/>
    <w:rsid w:val="006122B3"/>
    <w:rsid w:val="00660684"/>
    <w:rsid w:val="006762B7"/>
    <w:rsid w:val="006835BE"/>
    <w:rsid w:val="00683CA4"/>
    <w:rsid w:val="00691681"/>
    <w:rsid w:val="006929B5"/>
    <w:rsid w:val="00696847"/>
    <w:rsid w:val="006A38C2"/>
    <w:rsid w:val="006B3C05"/>
    <w:rsid w:val="006B4E2C"/>
    <w:rsid w:val="006C0D6D"/>
    <w:rsid w:val="006C267C"/>
    <w:rsid w:val="006C3062"/>
    <w:rsid w:val="006D0167"/>
    <w:rsid w:val="006D51A6"/>
    <w:rsid w:val="006D66D6"/>
    <w:rsid w:val="006F3281"/>
    <w:rsid w:val="006F5066"/>
    <w:rsid w:val="006F7DE1"/>
    <w:rsid w:val="00704D96"/>
    <w:rsid w:val="0072092E"/>
    <w:rsid w:val="00723D60"/>
    <w:rsid w:val="00723E2B"/>
    <w:rsid w:val="00751290"/>
    <w:rsid w:val="007906B1"/>
    <w:rsid w:val="00796F4D"/>
    <w:rsid w:val="007A0EFD"/>
    <w:rsid w:val="007A60C0"/>
    <w:rsid w:val="007A7FBF"/>
    <w:rsid w:val="007B2973"/>
    <w:rsid w:val="007C0DC5"/>
    <w:rsid w:val="007C50C1"/>
    <w:rsid w:val="007C763B"/>
    <w:rsid w:val="007F6E8E"/>
    <w:rsid w:val="00801D22"/>
    <w:rsid w:val="00807D4F"/>
    <w:rsid w:val="00807F24"/>
    <w:rsid w:val="00814A4A"/>
    <w:rsid w:val="00823D73"/>
    <w:rsid w:val="0083615E"/>
    <w:rsid w:val="00847BF8"/>
    <w:rsid w:val="00850CEC"/>
    <w:rsid w:val="00862699"/>
    <w:rsid w:val="00862EAD"/>
    <w:rsid w:val="008656A8"/>
    <w:rsid w:val="00865D5F"/>
    <w:rsid w:val="008733BE"/>
    <w:rsid w:val="00876EFB"/>
    <w:rsid w:val="00890BDD"/>
    <w:rsid w:val="008A2DFB"/>
    <w:rsid w:val="008A2F04"/>
    <w:rsid w:val="008B225C"/>
    <w:rsid w:val="008D4F99"/>
    <w:rsid w:val="008D5553"/>
    <w:rsid w:val="008D7BD7"/>
    <w:rsid w:val="008E2ADF"/>
    <w:rsid w:val="008F2233"/>
    <w:rsid w:val="008F7E93"/>
    <w:rsid w:val="00903CB5"/>
    <w:rsid w:val="00904DCE"/>
    <w:rsid w:val="009122BF"/>
    <w:rsid w:val="00925260"/>
    <w:rsid w:val="00943D76"/>
    <w:rsid w:val="00945ABE"/>
    <w:rsid w:val="009516BF"/>
    <w:rsid w:val="00960343"/>
    <w:rsid w:val="00980E8A"/>
    <w:rsid w:val="0098500D"/>
    <w:rsid w:val="00986D49"/>
    <w:rsid w:val="00990E68"/>
    <w:rsid w:val="009972B1"/>
    <w:rsid w:val="009B0E6B"/>
    <w:rsid w:val="009B0F52"/>
    <w:rsid w:val="009B42A3"/>
    <w:rsid w:val="009B56FE"/>
    <w:rsid w:val="009E33C8"/>
    <w:rsid w:val="009E4D07"/>
    <w:rsid w:val="00A02601"/>
    <w:rsid w:val="00A1039D"/>
    <w:rsid w:val="00A1250F"/>
    <w:rsid w:val="00A1733D"/>
    <w:rsid w:val="00A20AE4"/>
    <w:rsid w:val="00A22462"/>
    <w:rsid w:val="00A53592"/>
    <w:rsid w:val="00A5408A"/>
    <w:rsid w:val="00A543CD"/>
    <w:rsid w:val="00A66CE0"/>
    <w:rsid w:val="00A75F28"/>
    <w:rsid w:val="00A7753C"/>
    <w:rsid w:val="00A81E9F"/>
    <w:rsid w:val="00A91738"/>
    <w:rsid w:val="00AA27DD"/>
    <w:rsid w:val="00AA5255"/>
    <w:rsid w:val="00AF0DD5"/>
    <w:rsid w:val="00B0325C"/>
    <w:rsid w:val="00B13A8A"/>
    <w:rsid w:val="00B1518B"/>
    <w:rsid w:val="00B21022"/>
    <w:rsid w:val="00B26463"/>
    <w:rsid w:val="00B37B22"/>
    <w:rsid w:val="00B65A4C"/>
    <w:rsid w:val="00B71F92"/>
    <w:rsid w:val="00B723C7"/>
    <w:rsid w:val="00B87C4E"/>
    <w:rsid w:val="00BC24DA"/>
    <w:rsid w:val="00BE7C2F"/>
    <w:rsid w:val="00BF345B"/>
    <w:rsid w:val="00BF75B3"/>
    <w:rsid w:val="00C27533"/>
    <w:rsid w:val="00C40924"/>
    <w:rsid w:val="00C447E9"/>
    <w:rsid w:val="00C452D9"/>
    <w:rsid w:val="00C461E3"/>
    <w:rsid w:val="00C474B0"/>
    <w:rsid w:val="00C549D2"/>
    <w:rsid w:val="00C708F5"/>
    <w:rsid w:val="00C94830"/>
    <w:rsid w:val="00C95B18"/>
    <w:rsid w:val="00C97B2E"/>
    <w:rsid w:val="00CA546E"/>
    <w:rsid w:val="00CB20EA"/>
    <w:rsid w:val="00CB62D7"/>
    <w:rsid w:val="00CB6662"/>
    <w:rsid w:val="00CC0097"/>
    <w:rsid w:val="00CC21C5"/>
    <w:rsid w:val="00CC58A2"/>
    <w:rsid w:val="00CD423E"/>
    <w:rsid w:val="00CD6FC6"/>
    <w:rsid w:val="00CF3E80"/>
    <w:rsid w:val="00CF4339"/>
    <w:rsid w:val="00CF6AEF"/>
    <w:rsid w:val="00D02D16"/>
    <w:rsid w:val="00D20D67"/>
    <w:rsid w:val="00D21F19"/>
    <w:rsid w:val="00D27890"/>
    <w:rsid w:val="00D338B3"/>
    <w:rsid w:val="00D44D32"/>
    <w:rsid w:val="00D44E04"/>
    <w:rsid w:val="00D459F3"/>
    <w:rsid w:val="00D520F0"/>
    <w:rsid w:val="00D634AC"/>
    <w:rsid w:val="00D64132"/>
    <w:rsid w:val="00D65A5E"/>
    <w:rsid w:val="00D70A9E"/>
    <w:rsid w:val="00D828C9"/>
    <w:rsid w:val="00D97628"/>
    <w:rsid w:val="00DC4149"/>
    <w:rsid w:val="00DD023C"/>
    <w:rsid w:val="00DE01C6"/>
    <w:rsid w:val="00DF4E1A"/>
    <w:rsid w:val="00DF558D"/>
    <w:rsid w:val="00E01B0F"/>
    <w:rsid w:val="00E029D3"/>
    <w:rsid w:val="00E13780"/>
    <w:rsid w:val="00E14D23"/>
    <w:rsid w:val="00E15B50"/>
    <w:rsid w:val="00E165FA"/>
    <w:rsid w:val="00E26815"/>
    <w:rsid w:val="00E26B27"/>
    <w:rsid w:val="00E51E1E"/>
    <w:rsid w:val="00E80860"/>
    <w:rsid w:val="00E81A5D"/>
    <w:rsid w:val="00E857F9"/>
    <w:rsid w:val="00E90CEB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14B16"/>
    <w:rsid w:val="00F26A57"/>
    <w:rsid w:val="00F34DDA"/>
    <w:rsid w:val="00F45160"/>
    <w:rsid w:val="00F5118F"/>
    <w:rsid w:val="00F538BD"/>
    <w:rsid w:val="00F66E2C"/>
    <w:rsid w:val="00F8469F"/>
    <w:rsid w:val="00FB624D"/>
    <w:rsid w:val="00FB7AF3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page number"/>
    <w:basedOn w:val="a0"/>
    <w:rsid w:val="006F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F420-EAB3-4BB9-9941-170960D7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60</cp:revision>
  <cp:lastPrinted>2023-11-01T13:17:00Z</cp:lastPrinted>
  <dcterms:created xsi:type="dcterms:W3CDTF">2018-05-04T05:19:00Z</dcterms:created>
  <dcterms:modified xsi:type="dcterms:W3CDTF">2023-11-28T07:13:00Z</dcterms:modified>
</cp:coreProperties>
</file>